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13" w:rsidRPr="00A43713" w:rsidRDefault="00A43713" w:rsidP="00A43713">
      <w:pPr>
        <w:spacing w:after="0" w:line="315" w:lineRule="atLeast"/>
        <w:jc w:val="center"/>
        <w:rPr>
          <w:rFonts w:ascii="Times New Roman" w:eastAsia="Times New Roman" w:hAnsi="Times New Roman" w:cs="Times New Roman"/>
          <w:b/>
          <w:bCs/>
          <w:color w:val="000000"/>
          <w:sz w:val="21"/>
          <w:szCs w:val="21"/>
          <w:lang w:eastAsia="ru-RU"/>
        </w:rPr>
      </w:pPr>
      <w:r w:rsidRPr="00A43713">
        <w:rPr>
          <w:rFonts w:ascii="Times New Roman" w:eastAsia="Times New Roman" w:hAnsi="Times New Roman" w:cs="Times New Roman"/>
          <w:b/>
          <w:bCs/>
          <w:color w:val="000000"/>
          <w:sz w:val="21"/>
          <w:szCs w:val="21"/>
          <w:lang w:eastAsia="ru-RU"/>
        </w:rPr>
        <w:t> </w:t>
      </w:r>
    </w:p>
    <w:p w:rsidR="00A43713" w:rsidRPr="00A43713" w:rsidRDefault="00A43713" w:rsidP="00A43713">
      <w:pPr>
        <w:spacing w:after="0" w:line="315" w:lineRule="atLeast"/>
        <w:jc w:val="center"/>
        <w:rPr>
          <w:rFonts w:ascii="Times New Roman" w:eastAsia="Times New Roman" w:hAnsi="Times New Roman" w:cs="Times New Roman"/>
          <w:b/>
          <w:bCs/>
          <w:color w:val="000000"/>
          <w:sz w:val="21"/>
          <w:szCs w:val="21"/>
          <w:lang w:eastAsia="ru-RU"/>
        </w:rPr>
      </w:pPr>
      <w:r w:rsidRPr="00A43713">
        <w:rPr>
          <w:rFonts w:ascii="Times New Roman" w:eastAsia="Times New Roman" w:hAnsi="Times New Roman" w:cs="Times New Roman"/>
          <w:b/>
          <w:bCs/>
          <w:color w:val="000000"/>
          <w:sz w:val="21"/>
          <w:szCs w:val="21"/>
          <w:lang w:eastAsia="ru-RU"/>
        </w:rPr>
        <w:t>ФЕДЕРАЛЬНЫЙ ЗАКОН</w:t>
      </w:r>
    </w:p>
    <w:p w:rsidR="00A43713" w:rsidRPr="00A43713" w:rsidRDefault="00A43713" w:rsidP="00A43713">
      <w:pPr>
        <w:spacing w:after="0" w:line="315" w:lineRule="atLeast"/>
        <w:jc w:val="center"/>
        <w:rPr>
          <w:rFonts w:ascii="Times New Roman" w:eastAsia="Times New Roman" w:hAnsi="Times New Roman" w:cs="Times New Roman"/>
          <w:b/>
          <w:bCs/>
          <w:color w:val="000000"/>
          <w:sz w:val="21"/>
          <w:szCs w:val="21"/>
          <w:lang w:eastAsia="ru-RU"/>
        </w:rPr>
      </w:pPr>
      <w:r w:rsidRPr="00A43713">
        <w:rPr>
          <w:rFonts w:ascii="Times New Roman" w:eastAsia="Times New Roman" w:hAnsi="Times New Roman" w:cs="Times New Roman"/>
          <w:b/>
          <w:bCs/>
          <w:color w:val="000000"/>
          <w:sz w:val="21"/>
          <w:szCs w:val="21"/>
          <w:lang w:eastAsia="ru-RU"/>
        </w:rPr>
        <w:t> </w:t>
      </w:r>
    </w:p>
    <w:p w:rsidR="00A43713" w:rsidRPr="00A43713" w:rsidRDefault="00A43713" w:rsidP="00A43713">
      <w:pPr>
        <w:spacing w:after="0" w:line="315" w:lineRule="atLeast"/>
        <w:jc w:val="center"/>
        <w:rPr>
          <w:rFonts w:ascii="Times New Roman" w:eastAsia="Times New Roman" w:hAnsi="Times New Roman" w:cs="Times New Roman"/>
          <w:b/>
          <w:bCs/>
          <w:color w:val="000000"/>
          <w:sz w:val="21"/>
          <w:szCs w:val="21"/>
          <w:lang w:eastAsia="ru-RU"/>
        </w:rPr>
      </w:pPr>
      <w:r w:rsidRPr="00A43713">
        <w:rPr>
          <w:rFonts w:ascii="Times New Roman" w:eastAsia="Times New Roman" w:hAnsi="Times New Roman" w:cs="Times New Roman"/>
          <w:b/>
          <w:bCs/>
          <w:color w:val="000000"/>
          <w:sz w:val="21"/>
          <w:szCs w:val="21"/>
          <w:lang w:eastAsia="ru-RU"/>
        </w:rPr>
        <w:t>О ВНЕСЕНИИ ИЗМЕНЕНИЙ</w:t>
      </w:r>
    </w:p>
    <w:p w:rsidR="00A43713" w:rsidRPr="00A43713" w:rsidRDefault="00A43713" w:rsidP="00A43713">
      <w:pPr>
        <w:spacing w:after="0" w:line="315" w:lineRule="atLeast"/>
        <w:jc w:val="center"/>
        <w:rPr>
          <w:rFonts w:ascii="Times New Roman" w:eastAsia="Times New Roman" w:hAnsi="Times New Roman" w:cs="Times New Roman"/>
          <w:b/>
          <w:bCs/>
          <w:color w:val="000000"/>
          <w:sz w:val="21"/>
          <w:szCs w:val="21"/>
          <w:lang w:eastAsia="ru-RU"/>
        </w:rPr>
      </w:pPr>
      <w:r w:rsidRPr="00A43713">
        <w:rPr>
          <w:rFonts w:ascii="Times New Roman" w:eastAsia="Times New Roman" w:hAnsi="Times New Roman" w:cs="Times New Roman"/>
          <w:b/>
          <w:bCs/>
          <w:color w:val="000000"/>
          <w:sz w:val="21"/>
          <w:szCs w:val="21"/>
          <w:lang w:eastAsia="ru-RU"/>
        </w:rPr>
        <w:t>В СТАТЬИ 2</w:t>
      </w:r>
      <w:proofErr w:type="gramStart"/>
      <w:r w:rsidRPr="00A43713">
        <w:rPr>
          <w:rFonts w:ascii="Times New Roman" w:eastAsia="Times New Roman" w:hAnsi="Times New Roman" w:cs="Times New Roman"/>
          <w:b/>
          <w:bCs/>
          <w:color w:val="000000"/>
          <w:sz w:val="21"/>
          <w:szCs w:val="21"/>
          <w:lang w:eastAsia="ru-RU"/>
        </w:rPr>
        <w:t xml:space="preserve"> И</w:t>
      </w:r>
      <w:proofErr w:type="gramEnd"/>
      <w:r w:rsidRPr="00A43713">
        <w:rPr>
          <w:rFonts w:ascii="Times New Roman" w:eastAsia="Times New Roman" w:hAnsi="Times New Roman" w:cs="Times New Roman"/>
          <w:b/>
          <w:bCs/>
          <w:color w:val="000000"/>
          <w:sz w:val="21"/>
          <w:szCs w:val="21"/>
          <w:lang w:eastAsia="ru-RU"/>
        </w:rPr>
        <w:t xml:space="preserve"> 6 ГРАДОСТРОИТЕЛЬНОГО КОДЕКСА</w:t>
      </w:r>
    </w:p>
    <w:p w:rsidR="00A43713" w:rsidRPr="00A43713" w:rsidRDefault="00A43713" w:rsidP="00A43713">
      <w:pPr>
        <w:spacing w:after="0" w:line="315" w:lineRule="atLeast"/>
        <w:jc w:val="center"/>
        <w:rPr>
          <w:rFonts w:ascii="Times New Roman" w:eastAsia="Times New Roman" w:hAnsi="Times New Roman" w:cs="Times New Roman"/>
          <w:b/>
          <w:bCs/>
          <w:color w:val="000000"/>
          <w:sz w:val="21"/>
          <w:szCs w:val="21"/>
          <w:lang w:eastAsia="ru-RU"/>
        </w:rPr>
      </w:pPr>
      <w:r w:rsidRPr="00A43713">
        <w:rPr>
          <w:rFonts w:ascii="Times New Roman" w:eastAsia="Times New Roman" w:hAnsi="Times New Roman" w:cs="Times New Roman"/>
          <w:b/>
          <w:bCs/>
          <w:color w:val="000000"/>
          <w:sz w:val="21"/>
          <w:szCs w:val="21"/>
          <w:lang w:eastAsia="ru-RU"/>
        </w:rPr>
        <w:t>РОССИЙСКОЙ ФЕДЕРАЦИИ</w:t>
      </w:r>
    </w:p>
    <w:p w:rsidR="00A43713" w:rsidRPr="00A43713" w:rsidRDefault="00A43713" w:rsidP="00A43713">
      <w:pPr>
        <w:spacing w:after="0" w:line="240" w:lineRule="auto"/>
        <w:jc w:val="center"/>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proofErr w:type="gramStart"/>
      <w:r w:rsidRPr="00A43713">
        <w:rPr>
          <w:rFonts w:ascii="Times New Roman" w:eastAsia="Times New Roman" w:hAnsi="Times New Roman" w:cs="Times New Roman"/>
          <w:color w:val="000000"/>
          <w:sz w:val="21"/>
          <w:szCs w:val="21"/>
          <w:lang w:eastAsia="ru-RU"/>
        </w:rPr>
        <w:t>Принят</w:t>
      </w:r>
      <w:proofErr w:type="gramEnd"/>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Государственной Думой</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4 апреля 2014 года</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Одобрен</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Советом Федерации</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16 апреля 2014 года</w:t>
      </w:r>
    </w:p>
    <w:p w:rsidR="00A43713" w:rsidRPr="00A43713" w:rsidRDefault="00A43713" w:rsidP="00A43713">
      <w:pPr>
        <w:spacing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tbl>
      <w:tblPr>
        <w:tblW w:w="7650" w:type="dxa"/>
        <w:tblCellSpacing w:w="0" w:type="dxa"/>
        <w:tblCellMar>
          <w:left w:w="0" w:type="dxa"/>
          <w:right w:w="0" w:type="dxa"/>
        </w:tblCellMar>
        <w:tblLook w:val="04A0" w:firstRow="1" w:lastRow="0" w:firstColumn="1" w:lastColumn="0" w:noHBand="0" w:noVBand="1"/>
      </w:tblPr>
      <w:tblGrid>
        <w:gridCol w:w="7650"/>
      </w:tblGrid>
      <w:tr w:rsidR="00A43713" w:rsidRPr="00A43713" w:rsidTr="00A43713">
        <w:trPr>
          <w:tblCellSpacing w:w="0" w:type="dxa"/>
        </w:trPr>
        <w:tc>
          <w:tcPr>
            <w:tcW w:w="0" w:type="auto"/>
            <w:hideMark/>
          </w:tcPr>
          <w:p w:rsidR="00A43713" w:rsidRPr="00A43713" w:rsidRDefault="00A43713" w:rsidP="00A43713">
            <w:pPr>
              <w:spacing w:after="0" w:line="273" w:lineRule="atLeast"/>
              <w:ind w:firstLine="547"/>
              <w:jc w:val="both"/>
              <w:rPr>
                <w:rFonts w:ascii="Times New Roman" w:eastAsia="Times New Roman" w:hAnsi="Times New Roman" w:cs="Times New Roman"/>
                <w:sz w:val="21"/>
                <w:szCs w:val="21"/>
                <w:lang w:eastAsia="ru-RU"/>
              </w:rPr>
            </w:pPr>
            <w:r w:rsidRPr="00A43713">
              <w:rPr>
                <w:rFonts w:ascii="Arial" w:eastAsia="Times New Roman" w:hAnsi="Arial" w:cs="Arial"/>
                <w:b/>
                <w:bCs/>
                <w:sz w:val="21"/>
                <w:szCs w:val="21"/>
                <w:lang w:eastAsia="ru-RU"/>
              </w:rPr>
              <w:t>Статья 1</w:t>
            </w:r>
          </w:p>
        </w:tc>
      </w:tr>
    </w:tbl>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proofErr w:type="gramStart"/>
      <w:r w:rsidRPr="00A43713">
        <w:rPr>
          <w:rFonts w:ascii="Times New Roman" w:eastAsia="Times New Roman" w:hAnsi="Times New Roman" w:cs="Times New Roman"/>
          <w:color w:val="000000"/>
          <w:sz w:val="21"/>
          <w:szCs w:val="21"/>
          <w:lang w:eastAsia="ru-RU"/>
        </w:rPr>
        <w:t>Внести в Градостроительный кодекс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sidRPr="00A43713">
        <w:rPr>
          <w:rFonts w:ascii="Times New Roman" w:eastAsia="Times New Roman" w:hAnsi="Times New Roman" w:cs="Times New Roman"/>
          <w:color w:val="000000"/>
          <w:sz w:val="21"/>
          <w:szCs w:val="21"/>
          <w:lang w:eastAsia="ru-RU"/>
        </w:rPr>
        <w:t xml:space="preserve"> </w:t>
      </w:r>
      <w:proofErr w:type="gramStart"/>
      <w:r w:rsidRPr="00A43713">
        <w:rPr>
          <w:rFonts w:ascii="Times New Roman" w:eastAsia="Times New Roman" w:hAnsi="Times New Roman" w:cs="Times New Roman"/>
          <w:color w:val="000000"/>
          <w:sz w:val="21"/>
          <w:szCs w:val="21"/>
          <w:lang w:eastAsia="ru-RU"/>
        </w:rPr>
        <w:t>2012, N 47, ст. 6390; N 53, ст. 7614) следующие изменения:</w:t>
      </w:r>
      <w:proofErr w:type="gramEnd"/>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1) статью 2 дополнить пунктом 10.1 следующего содержания:</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sidRPr="00A43713">
        <w:rPr>
          <w:rFonts w:ascii="Times New Roman" w:eastAsia="Times New Roman" w:hAnsi="Times New Roman" w:cs="Times New Roman"/>
          <w:color w:val="000000"/>
          <w:sz w:val="21"/>
          <w:szCs w:val="21"/>
          <w:lang w:eastAsia="ru-RU"/>
        </w:rPr>
        <w:t>;"</w:t>
      </w:r>
      <w:proofErr w:type="gramEnd"/>
      <w:r w:rsidRPr="00A43713">
        <w:rPr>
          <w:rFonts w:ascii="Times New Roman" w:eastAsia="Times New Roman" w:hAnsi="Times New Roman" w:cs="Times New Roman"/>
          <w:color w:val="000000"/>
          <w:sz w:val="21"/>
          <w:szCs w:val="21"/>
          <w:lang w:eastAsia="ru-RU"/>
        </w:rPr>
        <w:t>;</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2) в статье 6:</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а) абзац первый изложить в следующей редакции:</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"1. К полномочиям органов государственной власти Российской Федерации в области градостроительной деятельности относятся</w:t>
      </w:r>
      <w:proofErr w:type="gramStart"/>
      <w:r w:rsidRPr="00A43713">
        <w:rPr>
          <w:rFonts w:ascii="Times New Roman" w:eastAsia="Times New Roman" w:hAnsi="Times New Roman" w:cs="Times New Roman"/>
          <w:color w:val="000000"/>
          <w:sz w:val="21"/>
          <w:szCs w:val="21"/>
          <w:lang w:eastAsia="ru-RU"/>
        </w:rPr>
        <w:t>:"</w:t>
      </w:r>
      <w:proofErr w:type="gramEnd"/>
      <w:r w:rsidRPr="00A43713">
        <w:rPr>
          <w:rFonts w:ascii="Times New Roman" w:eastAsia="Times New Roman" w:hAnsi="Times New Roman" w:cs="Times New Roman"/>
          <w:color w:val="000000"/>
          <w:sz w:val="21"/>
          <w:szCs w:val="21"/>
          <w:lang w:eastAsia="ru-RU"/>
        </w:rPr>
        <w:t>;</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б) дополнить пунктом 7.4 следующего содержания:</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proofErr w:type="gramStart"/>
      <w:r w:rsidRPr="00A43713">
        <w:rPr>
          <w:rFonts w:ascii="Times New Roman" w:eastAsia="Times New Roman" w:hAnsi="Times New Roman" w:cs="Times New Roman"/>
          <w:color w:val="000000"/>
          <w:sz w:val="21"/>
          <w:szCs w:val="21"/>
          <w:lang w:eastAsia="ru-RU"/>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w:t>
      </w:r>
      <w:proofErr w:type="gramEnd"/>
      <w:r w:rsidRPr="00A43713">
        <w:rPr>
          <w:rFonts w:ascii="Times New Roman" w:eastAsia="Times New Roman" w:hAnsi="Times New Roman" w:cs="Times New Roman"/>
          <w:color w:val="000000"/>
          <w:sz w:val="21"/>
          <w:szCs w:val="21"/>
          <w:lang w:eastAsia="ru-RU"/>
        </w:rPr>
        <w:t xml:space="preserve">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rsidRPr="00A43713">
        <w:rPr>
          <w:rFonts w:ascii="Times New Roman" w:eastAsia="Times New Roman" w:hAnsi="Times New Roman" w:cs="Times New Roman"/>
          <w:color w:val="000000"/>
          <w:sz w:val="21"/>
          <w:szCs w:val="21"/>
          <w:lang w:eastAsia="ru-RU"/>
        </w:rPr>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в) дополнить частями 2 и 3 следующего содержания:</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lastRenderedPageBreak/>
        <w:t xml:space="preserve">3. </w:t>
      </w:r>
      <w:proofErr w:type="gramStart"/>
      <w:r w:rsidRPr="00A43713">
        <w:rPr>
          <w:rFonts w:ascii="Times New Roman" w:eastAsia="Times New Roman" w:hAnsi="Times New Roman" w:cs="Times New Roman"/>
          <w:color w:val="000000"/>
          <w:sz w:val="21"/>
          <w:szCs w:val="21"/>
          <w:lang w:eastAsia="ru-RU"/>
        </w:rPr>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A43713" w:rsidRPr="00A43713" w:rsidRDefault="00A43713" w:rsidP="00A43713">
      <w:pPr>
        <w:spacing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tbl>
      <w:tblPr>
        <w:tblW w:w="7650" w:type="dxa"/>
        <w:tblCellSpacing w:w="0" w:type="dxa"/>
        <w:tblCellMar>
          <w:left w:w="0" w:type="dxa"/>
          <w:right w:w="0" w:type="dxa"/>
        </w:tblCellMar>
        <w:tblLook w:val="04A0" w:firstRow="1" w:lastRow="0" w:firstColumn="1" w:lastColumn="0" w:noHBand="0" w:noVBand="1"/>
      </w:tblPr>
      <w:tblGrid>
        <w:gridCol w:w="7650"/>
      </w:tblGrid>
      <w:tr w:rsidR="00A43713" w:rsidRPr="00A43713" w:rsidTr="00A43713">
        <w:trPr>
          <w:tblCellSpacing w:w="0" w:type="dxa"/>
        </w:trPr>
        <w:tc>
          <w:tcPr>
            <w:tcW w:w="0" w:type="auto"/>
            <w:hideMark/>
          </w:tcPr>
          <w:p w:rsidR="00A43713" w:rsidRPr="00A43713" w:rsidRDefault="00A43713" w:rsidP="00A43713">
            <w:pPr>
              <w:spacing w:after="0" w:line="273" w:lineRule="atLeast"/>
              <w:ind w:firstLine="547"/>
              <w:jc w:val="both"/>
              <w:rPr>
                <w:rFonts w:ascii="Times New Roman" w:eastAsia="Times New Roman" w:hAnsi="Times New Roman" w:cs="Times New Roman"/>
                <w:sz w:val="21"/>
                <w:szCs w:val="21"/>
                <w:lang w:eastAsia="ru-RU"/>
              </w:rPr>
            </w:pPr>
            <w:r w:rsidRPr="00A43713">
              <w:rPr>
                <w:rFonts w:ascii="Arial" w:eastAsia="Times New Roman" w:hAnsi="Arial" w:cs="Arial"/>
                <w:b/>
                <w:bCs/>
                <w:sz w:val="21"/>
                <w:szCs w:val="21"/>
                <w:lang w:eastAsia="ru-RU"/>
              </w:rPr>
              <w:t>Статья 2</w:t>
            </w:r>
          </w:p>
        </w:tc>
      </w:tr>
    </w:tbl>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w:t>
      </w:r>
    </w:p>
    <w:p w:rsidR="00A43713" w:rsidRPr="00A43713" w:rsidRDefault="00A43713" w:rsidP="00A43713">
      <w:pPr>
        <w:spacing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tbl>
      <w:tblPr>
        <w:tblW w:w="7650" w:type="dxa"/>
        <w:tblCellSpacing w:w="0" w:type="dxa"/>
        <w:tblCellMar>
          <w:left w:w="0" w:type="dxa"/>
          <w:right w:w="0" w:type="dxa"/>
        </w:tblCellMar>
        <w:tblLook w:val="04A0" w:firstRow="1" w:lastRow="0" w:firstColumn="1" w:lastColumn="0" w:noHBand="0" w:noVBand="1"/>
      </w:tblPr>
      <w:tblGrid>
        <w:gridCol w:w="7650"/>
      </w:tblGrid>
      <w:tr w:rsidR="00A43713" w:rsidRPr="00A43713" w:rsidTr="00A43713">
        <w:trPr>
          <w:tblCellSpacing w:w="0" w:type="dxa"/>
        </w:trPr>
        <w:tc>
          <w:tcPr>
            <w:tcW w:w="0" w:type="auto"/>
            <w:hideMark/>
          </w:tcPr>
          <w:p w:rsidR="00A43713" w:rsidRPr="00A43713" w:rsidRDefault="00A43713" w:rsidP="00A43713">
            <w:pPr>
              <w:spacing w:after="0" w:line="273" w:lineRule="atLeast"/>
              <w:ind w:firstLine="547"/>
              <w:jc w:val="both"/>
              <w:rPr>
                <w:rFonts w:ascii="Times New Roman" w:eastAsia="Times New Roman" w:hAnsi="Times New Roman" w:cs="Times New Roman"/>
                <w:sz w:val="21"/>
                <w:szCs w:val="21"/>
                <w:lang w:eastAsia="ru-RU"/>
              </w:rPr>
            </w:pPr>
            <w:r w:rsidRPr="00A43713">
              <w:rPr>
                <w:rFonts w:ascii="Arial" w:eastAsia="Times New Roman" w:hAnsi="Arial" w:cs="Arial"/>
                <w:b/>
                <w:bCs/>
                <w:sz w:val="21"/>
                <w:szCs w:val="21"/>
                <w:lang w:eastAsia="ru-RU"/>
              </w:rPr>
              <w:t>Статья 3</w:t>
            </w:r>
          </w:p>
        </w:tc>
      </w:tr>
    </w:tbl>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Настоящий Федеральный закон вступает в силу со дня его официального опубликования.</w:t>
      </w:r>
    </w:p>
    <w:p w:rsidR="00A43713" w:rsidRPr="00A43713" w:rsidRDefault="00A43713" w:rsidP="00A43713">
      <w:pPr>
        <w:spacing w:after="0" w:line="273" w:lineRule="atLeast"/>
        <w:ind w:firstLine="547"/>
        <w:jc w:val="both"/>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 </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Президент</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Российской Федерации</w:t>
      </w:r>
    </w:p>
    <w:p w:rsidR="00A43713" w:rsidRPr="00A43713" w:rsidRDefault="00A43713" w:rsidP="00A43713">
      <w:pPr>
        <w:spacing w:after="0" w:line="315" w:lineRule="atLeast"/>
        <w:jc w:val="right"/>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В.ПУТИН</w:t>
      </w:r>
    </w:p>
    <w:p w:rsidR="00A43713" w:rsidRPr="00A43713" w:rsidRDefault="00A43713" w:rsidP="00A43713">
      <w:pPr>
        <w:spacing w:after="0" w:line="240" w:lineRule="auto"/>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Москва, Кремль</w:t>
      </w:r>
    </w:p>
    <w:p w:rsidR="00A43713" w:rsidRPr="00A43713" w:rsidRDefault="00A43713" w:rsidP="00A43713">
      <w:pPr>
        <w:spacing w:after="0" w:line="240" w:lineRule="auto"/>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20 апреля 2014 года</w:t>
      </w:r>
    </w:p>
    <w:p w:rsidR="00A43713" w:rsidRPr="00A43713" w:rsidRDefault="00A43713" w:rsidP="00A43713">
      <w:pPr>
        <w:spacing w:line="240" w:lineRule="auto"/>
        <w:rPr>
          <w:rFonts w:ascii="Times New Roman" w:eastAsia="Times New Roman" w:hAnsi="Times New Roman" w:cs="Times New Roman"/>
          <w:color w:val="000000"/>
          <w:sz w:val="21"/>
          <w:szCs w:val="21"/>
          <w:lang w:eastAsia="ru-RU"/>
        </w:rPr>
      </w:pPr>
      <w:r w:rsidRPr="00A43713">
        <w:rPr>
          <w:rFonts w:ascii="Times New Roman" w:eastAsia="Times New Roman" w:hAnsi="Times New Roman" w:cs="Times New Roman"/>
          <w:color w:val="000000"/>
          <w:sz w:val="21"/>
          <w:szCs w:val="21"/>
          <w:lang w:eastAsia="ru-RU"/>
        </w:rPr>
        <w:t>N 80-ФЗ</w:t>
      </w:r>
    </w:p>
    <w:p w:rsidR="00A43713" w:rsidRPr="00A43713" w:rsidRDefault="00A43713" w:rsidP="00A43713">
      <w:pPr>
        <w:spacing w:before="100" w:beforeAutospacing="1" w:after="100" w:afterAutospacing="1" w:line="240" w:lineRule="auto"/>
        <w:jc w:val="right"/>
        <w:rPr>
          <w:rFonts w:ascii="Tahoma" w:eastAsia="Times New Roman" w:hAnsi="Tahoma" w:cs="Tahoma"/>
          <w:color w:val="666666"/>
          <w:sz w:val="17"/>
          <w:szCs w:val="17"/>
          <w:lang w:eastAsia="ru-RU"/>
        </w:rPr>
      </w:pPr>
      <w:r w:rsidRPr="00A43713">
        <w:rPr>
          <w:rFonts w:ascii="Tahoma" w:eastAsia="Times New Roman" w:hAnsi="Tahoma" w:cs="Tahoma"/>
          <w:color w:val="666666"/>
          <w:sz w:val="17"/>
          <w:szCs w:val="17"/>
          <w:lang w:eastAsia="ru-RU"/>
        </w:rPr>
        <w:t>Дата последнего изменения 06-09-2017</w:t>
      </w:r>
    </w:p>
    <w:p w:rsidR="00A43713" w:rsidRPr="00A43713" w:rsidRDefault="00A43713" w:rsidP="00A43713">
      <w:pPr>
        <w:numPr>
          <w:ilvl w:val="0"/>
          <w:numId w:val="1"/>
        </w:numPr>
        <w:spacing w:before="100" w:beforeAutospacing="1" w:after="100" w:afterAutospacing="1" w:line="240" w:lineRule="auto"/>
        <w:ind w:left="-15255" w:right="160"/>
        <w:rPr>
          <w:rFonts w:ascii="Tahoma" w:eastAsia="Times New Roman" w:hAnsi="Tahoma" w:cs="Tahoma"/>
          <w:color w:val="000000"/>
          <w:sz w:val="18"/>
          <w:szCs w:val="18"/>
          <w:lang w:eastAsia="ru-RU"/>
        </w:rPr>
      </w:pPr>
      <w:r>
        <w:rPr>
          <w:rFonts w:ascii="Tahoma" w:eastAsia="Times New Roman" w:hAnsi="Tahoma" w:cs="Tahoma"/>
          <w:noProof/>
          <w:color w:val="0000FF"/>
          <w:sz w:val="18"/>
          <w:szCs w:val="18"/>
          <w:lang w:eastAsia="ru-RU"/>
        </w:rPr>
        <w:drawing>
          <wp:inline distT="0" distB="0" distL="0" distR="0">
            <wp:extent cx="114300" cy="114300"/>
            <wp:effectExtent l="0" t="0" r="0" b="0"/>
            <wp:docPr id="3" name="Рисунок 3" descr="http://xn--d1ashm6d.xn--p1ai/skewer_build/Page/Main/images/emai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d1ashm6d.xn--p1ai/skewer_build/Page/Main/images/email.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A43713" w:rsidRPr="00A43713" w:rsidRDefault="00A43713" w:rsidP="00A43713">
      <w:pPr>
        <w:numPr>
          <w:ilvl w:val="0"/>
          <w:numId w:val="1"/>
        </w:numPr>
        <w:spacing w:before="100" w:beforeAutospacing="1" w:after="100" w:afterAutospacing="1" w:line="240" w:lineRule="auto"/>
        <w:ind w:left="-15255" w:right="160"/>
        <w:rPr>
          <w:rFonts w:ascii="Tahoma" w:eastAsia="Times New Roman" w:hAnsi="Tahoma" w:cs="Tahoma"/>
          <w:color w:val="000000"/>
          <w:sz w:val="18"/>
          <w:szCs w:val="18"/>
          <w:lang w:eastAsia="ru-RU"/>
        </w:rPr>
      </w:pPr>
      <w:r>
        <w:rPr>
          <w:rFonts w:ascii="Tahoma" w:eastAsia="Times New Roman" w:hAnsi="Tahoma" w:cs="Tahoma"/>
          <w:noProof/>
          <w:color w:val="0000FF"/>
          <w:sz w:val="18"/>
          <w:szCs w:val="18"/>
          <w:lang w:eastAsia="ru-RU"/>
        </w:rPr>
        <w:drawing>
          <wp:inline distT="0" distB="0" distL="0" distR="0">
            <wp:extent cx="142875" cy="152400"/>
            <wp:effectExtent l="0" t="0" r="9525" b="0"/>
            <wp:docPr id="2" name="Рисунок 2" descr="http://xn--d1ashm6d.xn--p1ai/skewer_build/Page/Main/images/subscrib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d1ashm6d.xn--p1ai/skewer_build/Page/Main/images/subscribe.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A43713" w:rsidRPr="00A43713" w:rsidRDefault="00A43713" w:rsidP="00A43713">
      <w:pPr>
        <w:numPr>
          <w:ilvl w:val="0"/>
          <w:numId w:val="1"/>
        </w:numPr>
        <w:spacing w:before="100" w:beforeAutospacing="1" w:after="100" w:afterAutospacing="1" w:line="240" w:lineRule="auto"/>
        <w:ind w:left="-15255" w:right="160"/>
        <w:rPr>
          <w:rFonts w:ascii="Tahoma" w:eastAsia="Times New Roman" w:hAnsi="Tahoma" w:cs="Tahoma"/>
          <w:color w:val="000000"/>
          <w:sz w:val="18"/>
          <w:szCs w:val="18"/>
          <w:lang w:eastAsia="ru-RU"/>
        </w:rPr>
      </w:pPr>
      <w:r>
        <w:rPr>
          <w:rFonts w:ascii="Tahoma" w:eastAsia="Times New Roman" w:hAnsi="Tahoma" w:cs="Tahoma"/>
          <w:noProof/>
          <w:color w:val="0000FF"/>
          <w:sz w:val="18"/>
          <w:szCs w:val="18"/>
          <w:lang w:eastAsia="ru-RU"/>
        </w:rPr>
        <w:drawing>
          <wp:inline distT="0" distB="0" distL="0" distR="0">
            <wp:extent cx="152400" cy="142875"/>
            <wp:effectExtent l="0" t="0" r="0" b="9525"/>
            <wp:docPr id="1" name="Рисунок 1" descr="http://xn--d1ashm6d.xn--p1ai/skewer_build/Page/Main/images/prin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d1ashm6d.xn--p1ai/skewer_build/Page/Main/images/print.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A43713" w:rsidRPr="00A43713" w:rsidRDefault="00A43713" w:rsidP="00A43713">
      <w:pPr>
        <w:numPr>
          <w:ilvl w:val="0"/>
          <w:numId w:val="2"/>
        </w:numPr>
        <w:spacing w:after="0" w:line="240" w:lineRule="auto"/>
        <w:ind w:left="-15255"/>
        <w:rPr>
          <w:rFonts w:ascii="Tahoma" w:eastAsia="Times New Roman" w:hAnsi="Tahoma" w:cs="Tahoma"/>
          <w:color w:val="000000"/>
          <w:sz w:val="15"/>
          <w:szCs w:val="15"/>
          <w:lang w:eastAsia="ru-RU"/>
        </w:rPr>
      </w:pPr>
      <w:hyperlink r:id="rId12" w:history="1">
        <w:r w:rsidRPr="00A43713">
          <w:rPr>
            <w:rFonts w:ascii="Tahoma" w:eastAsia="Times New Roman" w:hAnsi="Tahoma" w:cs="Tahoma"/>
            <w:color w:val="000000"/>
            <w:sz w:val="18"/>
            <w:szCs w:val="18"/>
            <w:lang w:eastAsia="ru-RU"/>
          </w:rPr>
          <w:t xml:space="preserve">О </w:t>
        </w:r>
        <w:proofErr w:type="spellStart"/>
        <w:r w:rsidRPr="00A43713">
          <w:rPr>
            <w:rFonts w:ascii="Tahoma" w:eastAsia="Times New Roman" w:hAnsi="Tahoma" w:cs="Tahoma"/>
            <w:color w:val="000000"/>
            <w:sz w:val="18"/>
            <w:szCs w:val="18"/>
            <w:lang w:eastAsia="ru-RU"/>
          </w:rPr>
          <w:t>Руднянском</w:t>
        </w:r>
        <w:proofErr w:type="spellEnd"/>
        <w:r w:rsidRPr="00A43713">
          <w:rPr>
            <w:rFonts w:ascii="Tahoma" w:eastAsia="Times New Roman" w:hAnsi="Tahoma" w:cs="Tahoma"/>
            <w:color w:val="000000"/>
            <w:sz w:val="18"/>
            <w:szCs w:val="18"/>
            <w:lang w:eastAsia="ru-RU"/>
          </w:rPr>
          <w:t xml:space="preserve"> районе</w:t>
        </w:r>
      </w:hyperlink>
    </w:p>
    <w:p w:rsidR="00A43713" w:rsidRPr="00A43713" w:rsidRDefault="00A43713" w:rsidP="00A43713">
      <w:pPr>
        <w:numPr>
          <w:ilvl w:val="0"/>
          <w:numId w:val="2"/>
        </w:numPr>
        <w:spacing w:after="0" w:line="240" w:lineRule="auto"/>
        <w:ind w:left="-15255"/>
        <w:rPr>
          <w:rFonts w:ascii="Tahoma" w:eastAsia="Times New Roman" w:hAnsi="Tahoma" w:cs="Tahoma"/>
          <w:color w:val="000000"/>
          <w:sz w:val="15"/>
          <w:szCs w:val="15"/>
          <w:lang w:eastAsia="ru-RU"/>
        </w:rPr>
      </w:pPr>
      <w:hyperlink r:id="rId13" w:history="1">
        <w:r w:rsidRPr="00A43713">
          <w:rPr>
            <w:rFonts w:ascii="Tahoma" w:eastAsia="Times New Roman" w:hAnsi="Tahoma" w:cs="Tahoma"/>
            <w:color w:val="000000"/>
            <w:sz w:val="18"/>
            <w:szCs w:val="18"/>
            <w:lang w:eastAsia="ru-RU"/>
          </w:rPr>
          <w:t>Информация для населения</w:t>
        </w:r>
      </w:hyperlink>
    </w:p>
    <w:p w:rsidR="00A43713" w:rsidRPr="00A43713" w:rsidRDefault="00A43713" w:rsidP="00A43713">
      <w:pPr>
        <w:numPr>
          <w:ilvl w:val="0"/>
          <w:numId w:val="2"/>
        </w:numPr>
        <w:spacing w:after="0" w:line="240" w:lineRule="auto"/>
        <w:ind w:left="-15255"/>
        <w:rPr>
          <w:rFonts w:ascii="Tahoma" w:eastAsia="Times New Roman" w:hAnsi="Tahoma" w:cs="Tahoma"/>
          <w:color w:val="000000"/>
          <w:sz w:val="15"/>
          <w:szCs w:val="15"/>
          <w:lang w:eastAsia="ru-RU"/>
        </w:rPr>
      </w:pPr>
      <w:hyperlink r:id="rId14" w:history="1">
        <w:r w:rsidRPr="00A43713">
          <w:rPr>
            <w:rFonts w:ascii="Tahoma" w:eastAsia="Times New Roman" w:hAnsi="Tahoma" w:cs="Tahoma"/>
            <w:color w:val="000000"/>
            <w:sz w:val="18"/>
            <w:szCs w:val="18"/>
            <w:lang w:eastAsia="ru-RU"/>
          </w:rPr>
          <w:t>Итоги работы</w:t>
        </w:r>
      </w:hyperlink>
    </w:p>
    <w:p w:rsidR="00A43713" w:rsidRPr="00A43713" w:rsidRDefault="00A43713" w:rsidP="00A43713">
      <w:pPr>
        <w:numPr>
          <w:ilvl w:val="0"/>
          <w:numId w:val="2"/>
        </w:numPr>
        <w:spacing w:line="240" w:lineRule="auto"/>
        <w:ind w:left="-15255"/>
        <w:rPr>
          <w:rFonts w:ascii="Tahoma" w:eastAsia="Times New Roman" w:hAnsi="Tahoma" w:cs="Tahoma"/>
          <w:color w:val="000000"/>
          <w:sz w:val="15"/>
          <w:szCs w:val="15"/>
          <w:lang w:eastAsia="ru-RU"/>
        </w:rPr>
      </w:pPr>
      <w:hyperlink r:id="rId15" w:history="1">
        <w:r w:rsidRPr="00A43713">
          <w:rPr>
            <w:rFonts w:ascii="Tahoma" w:eastAsia="Times New Roman" w:hAnsi="Tahoma" w:cs="Tahoma"/>
            <w:color w:val="000000"/>
            <w:sz w:val="18"/>
            <w:szCs w:val="18"/>
            <w:lang w:eastAsia="ru-RU"/>
          </w:rPr>
          <w:t>Представительное </w:t>
        </w:r>
      </w:hyperlink>
    </w:p>
    <w:p w:rsidR="0021748C" w:rsidRDefault="0021748C">
      <w:bookmarkStart w:id="0" w:name="_GoBack"/>
      <w:bookmarkEnd w:id="0"/>
    </w:p>
    <w:sectPr w:rsidR="0021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282"/>
    <w:multiLevelType w:val="multilevel"/>
    <w:tmpl w:val="5AB4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F7B1F"/>
    <w:multiLevelType w:val="multilevel"/>
    <w:tmpl w:val="2F0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13"/>
    <w:rsid w:val="0021748C"/>
    <w:rsid w:val="00A4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elis">
    <w:name w:val="g-relis"/>
    <w:basedOn w:val="a"/>
    <w:rsid w:val="00A43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3713"/>
    <w:rPr>
      <w:color w:val="0000FF"/>
      <w:u w:val="single"/>
    </w:rPr>
  </w:style>
  <w:style w:type="paragraph" w:styleId="a4">
    <w:name w:val="Balloon Text"/>
    <w:basedOn w:val="a"/>
    <w:link w:val="a5"/>
    <w:uiPriority w:val="99"/>
    <w:semiHidden/>
    <w:unhideWhenUsed/>
    <w:rsid w:val="00A437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elis">
    <w:name w:val="g-relis"/>
    <w:basedOn w:val="a"/>
    <w:rsid w:val="00A43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3713"/>
    <w:rPr>
      <w:color w:val="0000FF"/>
      <w:u w:val="single"/>
    </w:rPr>
  </w:style>
  <w:style w:type="paragraph" w:styleId="a4">
    <w:name w:val="Balloon Text"/>
    <w:basedOn w:val="a"/>
    <w:link w:val="a5"/>
    <w:uiPriority w:val="99"/>
    <w:semiHidden/>
    <w:unhideWhenUsed/>
    <w:rsid w:val="00A437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1699">
      <w:bodyDiv w:val="1"/>
      <w:marLeft w:val="0"/>
      <w:marRight w:val="0"/>
      <w:marTop w:val="0"/>
      <w:marBottom w:val="0"/>
      <w:divBdr>
        <w:top w:val="none" w:sz="0" w:space="0" w:color="auto"/>
        <w:left w:val="none" w:sz="0" w:space="0" w:color="auto"/>
        <w:bottom w:val="none" w:sz="0" w:space="0" w:color="auto"/>
        <w:right w:val="none" w:sz="0" w:space="0" w:color="auto"/>
      </w:divBdr>
      <w:divsChild>
        <w:div w:id="1157961980">
          <w:marLeft w:val="0"/>
          <w:marRight w:val="0"/>
          <w:marTop w:val="0"/>
          <w:marBottom w:val="0"/>
          <w:divBdr>
            <w:top w:val="none" w:sz="0" w:space="0" w:color="auto"/>
            <w:left w:val="none" w:sz="0" w:space="0" w:color="auto"/>
            <w:bottom w:val="none" w:sz="0" w:space="0" w:color="auto"/>
            <w:right w:val="none" w:sz="0" w:space="0" w:color="auto"/>
          </w:divBdr>
          <w:divsChild>
            <w:div w:id="492069063">
              <w:marLeft w:val="3555"/>
              <w:marRight w:val="3750"/>
              <w:marTop w:val="0"/>
              <w:marBottom w:val="0"/>
              <w:divBdr>
                <w:top w:val="none" w:sz="0" w:space="0" w:color="auto"/>
                <w:left w:val="none" w:sz="0" w:space="0" w:color="auto"/>
                <w:bottom w:val="none" w:sz="0" w:space="0" w:color="auto"/>
                <w:right w:val="none" w:sz="0" w:space="0" w:color="auto"/>
              </w:divBdr>
              <w:divsChild>
                <w:div w:id="543835308">
                  <w:marLeft w:val="0"/>
                  <w:marRight w:val="0"/>
                  <w:marTop w:val="0"/>
                  <w:marBottom w:val="360"/>
                  <w:divBdr>
                    <w:top w:val="none" w:sz="0" w:space="0" w:color="auto"/>
                    <w:left w:val="none" w:sz="0" w:space="0" w:color="auto"/>
                    <w:bottom w:val="none" w:sz="0" w:space="0" w:color="auto"/>
                    <w:right w:val="none" w:sz="0" w:space="0" w:color="auto"/>
                  </w:divBdr>
                  <w:divsChild>
                    <w:div w:id="1367440913">
                      <w:marLeft w:val="0"/>
                      <w:marRight w:val="0"/>
                      <w:marTop w:val="0"/>
                      <w:marBottom w:val="0"/>
                      <w:divBdr>
                        <w:top w:val="none" w:sz="0" w:space="0" w:color="auto"/>
                        <w:left w:val="none" w:sz="0" w:space="0" w:color="auto"/>
                        <w:bottom w:val="none" w:sz="0" w:space="0" w:color="auto"/>
                        <w:right w:val="none" w:sz="0" w:space="0" w:color="auto"/>
                      </w:divBdr>
                    </w:div>
                    <w:div w:id="1958754720">
                      <w:marLeft w:val="0"/>
                      <w:marRight w:val="0"/>
                      <w:marTop w:val="0"/>
                      <w:marBottom w:val="0"/>
                      <w:divBdr>
                        <w:top w:val="none" w:sz="0" w:space="0" w:color="auto"/>
                        <w:left w:val="none" w:sz="0" w:space="0" w:color="auto"/>
                        <w:bottom w:val="none" w:sz="0" w:space="0" w:color="auto"/>
                        <w:right w:val="none" w:sz="0" w:space="0" w:color="auto"/>
                      </w:divBdr>
                    </w:div>
                    <w:div w:id="1063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7975">
          <w:marLeft w:val="-15255"/>
          <w:marRight w:val="0"/>
          <w:marTop w:val="0"/>
          <w:marBottom w:val="0"/>
          <w:divBdr>
            <w:top w:val="none" w:sz="0" w:space="0" w:color="auto"/>
            <w:left w:val="none" w:sz="0" w:space="0" w:color="auto"/>
            <w:bottom w:val="none" w:sz="0" w:space="0" w:color="auto"/>
            <w:right w:val="none" w:sz="0" w:space="0" w:color="auto"/>
          </w:divBdr>
          <w:divsChild>
            <w:div w:id="1761222407">
              <w:marLeft w:val="0"/>
              <w:marRight w:val="0"/>
              <w:marTop w:val="0"/>
              <w:marBottom w:val="0"/>
              <w:divBdr>
                <w:top w:val="none" w:sz="0" w:space="0" w:color="auto"/>
                <w:left w:val="none" w:sz="0" w:space="0" w:color="auto"/>
                <w:bottom w:val="none" w:sz="0" w:space="0" w:color="auto"/>
                <w:right w:val="none" w:sz="0" w:space="0" w:color="auto"/>
              </w:divBdr>
              <w:divsChild>
                <w:div w:id="587544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91;&#1076;&#1085;&#1103;.&#1088;&#1092;/rassylka/" TargetMode="External"/><Relationship Id="rId13" Type="http://schemas.openxmlformats.org/officeDocument/2006/relationships/hyperlink" Target="http://xn--d1ashm6d.xn--p1ai/leftmenu/informaciya-dlya-naseleni/"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xn--d1ashm6d.xn--p1ai/leftmenu/ev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88;&#1091;&#1076;&#1085;&#1103;.&#1088;&#1092;/obraschenia-graj/"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xn--d1ashm6d.xn--p1ai/leftmenu/predstavitelnoe-sobranie/" TargetMode="External"/><Relationship Id="rId10" Type="http://schemas.openxmlformats.org/officeDocument/2006/relationships/hyperlink" Target="http://&#1088;&#1091;&#1076;&#1085;&#1103;.&#1088;&#1092;/leftmenu/shemy-territorialnogo-planirovaniya/ischerpyvayuschie-perechni-procedur-v-sfere-stroitelstva/?version=prin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xn--d1ashm6d.xn--p1ai/leftmenu/itogi-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1</cp:revision>
  <dcterms:created xsi:type="dcterms:W3CDTF">2017-09-07T10:10:00Z</dcterms:created>
  <dcterms:modified xsi:type="dcterms:W3CDTF">2017-09-07T10:10:00Z</dcterms:modified>
</cp:coreProperties>
</file>